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pPr w:leftFromText="180" w:rightFromText="180" w:vertAnchor="text" w:horzAnchor="margin" w:tblpY="-114"/>
        <w:bidiVisual/>
        <w:tblW w:w="88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3"/>
        <w:gridCol w:w="2810"/>
        <w:gridCol w:w="5399"/>
      </w:tblGrid>
      <w:tr w:rsidR="006E47E2" w:rsidRPr="007905B3" w:rsidTr="00F8515C">
        <w:tc>
          <w:tcPr>
            <w:tcW w:w="603" w:type="dxa"/>
          </w:tcPr>
          <w:p w:rsidR="006E47E2" w:rsidRPr="00034D85" w:rsidRDefault="006E47E2" w:rsidP="00F8515C">
            <w:pPr>
              <w:jc w:val="both"/>
              <w:rPr>
                <w:rFonts w:ascii="Arial" w:hAnsi="Arial"/>
                <w:b/>
                <w:bCs/>
              </w:rPr>
            </w:pPr>
            <w:bookmarkStart w:id="0" w:name="_GoBack"/>
            <w:bookmarkEnd w:id="0"/>
            <w:r w:rsidRPr="00034D85">
              <w:rPr>
                <w:rFonts w:ascii="Arial" w:hAnsi="Arial" w:hint="cs"/>
                <w:b/>
                <w:bCs/>
                <w:rtl/>
              </w:rPr>
              <w:t>ל</w:t>
            </w:r>
            <w:r w:rsidRPr="00034D85">
              <w:rPr>
                <w:rFonts w:ascii="Arial" w:hAnsi="Arial"/>
                <w:b/>
                <w:bCs/>
                <w:rtl/>
              </w:rPr>
              <w:t>פנ</w:t>
            </w:r>
            <w:r w:rsidRPr="00034D85">
              <w:rPr>
                <w:rFonts w:ascii="Arial" w:hAnsi="Arial" w:hint="cs"/>
                <w:b/>
                <w:bCs/>
                <w:rtl/>
              </w:rPr>
              <w:t>י</w:t>
            </w:r>
          </w:p>
        </w:tc>
        <w:tc>
          <w:tcPr>
            <w:tcW w:w="8209" w:type="dxa"/>
            <w:gridSpan w:val="2"/>
          </w:tcPr>
          <w:p w:rsidR="006E47E2" w:rsidRPr="00034D85" w:rsidRDefault="006E47E2" w:rsidP="00F8515C">
            <w:pPr>
              <w:tabs>
                <w:tab w:val="left" w:pos="5206"/>
              </w:tabs>
              <w:rPr>
                <w:rFonts w:ascii="Arial" w:hAnsi="Arial" w:cs="FrankRuehl"/>
                <w:highlight w:val="yellow"/>
                <w:rtl/>
              </w:rPr>
            </w:pPr>
            <w:r w:rsidRPr="00034D85">
              <w:rPr>
                <w:rFonts w:ascii="Arial" w:hAnsi="Arial" w:hint="cs"/>
                <w:b/>
                <w:bCs/>
                <w:rtl/>
              </w:rPr>
              <w:t xml:space="preserve">כב' </w:t>
            </w:r>
            <w:r>
              <w:rPr>
                <w:rFonts w:ascii="Arial" w:hAnsi="Arial" w:hint="cs"/>
                <w:b/>
                <w:bCs/>
                <w:rtl/>
              </w:rPr>
              <w:t>השופט</w:t>
            </w:r>
            <w:r w:rsidRPr="00034D85">
              <w:rPr>
                <w:rFonts w:ascii="Arial" w:hAnsi="Arial" w:hint="cs"/>
                <w:b/>
                <w:bCs/>
                <w:rtl/>
              </w:rPr>
              <w:t xml:space="preserve"> אבי כהן</w:t>
            </w:r>
            <w:r w:rsidRPr="00034D85">
              <w:rPr>
                <w:rtl/>
              </w:rPr>
              <w:tab/>
            </w:r>
          </w:p>
        </w:tc>
      </w:tr>
      <w:tr w:rsidR="006E47E2" w:rsidRPr="007905B3" w:rsidTr="00F8515C">
        <w:tc>
          <w:tcPr>
            <w:tcW w:w="3413" w:type="dxa"/>
            <w:gridSpan w:val="2"/>
          </w:tcPr>
          <w:p w:rsidR="006E47E2" w:rsidRPr="00034D85" w:rsidRDefault="006E47E2" w:rsidP="00F8515C">
            <w:pPr>
              <w:bidi w:val="0"/>
              <w:jc w:val="right"/>
              <w:rPr>
                <w:rFonts w:ascii="Arial" w:hAnsi="Arial"/>
                <w:b/>
                <w:bCs/>
                <w:noProof w:val="0"/>
              </w:rPr>
            </w:pPr>
          </w:p>
          <w:sdt>
            <w:sdtPr>
              <w:alias w:val="1180"/>
              <w:tag w:val="1180"/>
              <w:id w:val="1157651110"/>
              <w:text w:multiLine="1"/>
            </w:sdtPr>
            <w:sdtContent>
              <w:p w:rsidR="006E47E2" w:rsidRDefault="006E47E2" w:rsidP="00F8515C">
                <w:pPr>
                  <w:bidi w:val="0"/>
                  <w:jc w:val="right"/>
                  <w:rPr>
                    <w:rFonts w:ascii="Arial" w:hAnsi="Arial"/>
                    <w:b/>
                    <w:bCs/>
                    <w:noProof w:val="0"/>
                    <w:rtl/>
                  </w:rPr>
                </w:pPr>
                <w:r>
                  <w:rPr>
                    <w:rFonts w:ascii="Arial" w:hAnsi="Arial"/>
                    <w:b/>
                    <w:bCs/>
                    <w:noProof w:val="0"/>
                    <w:rtl/>
                  </w:rPr>
                  <w:t>תובע</w:t>
                </w:r>
                <w:r>
                  <w:rPr>
                    <w:rFonts w:ascii="Arial" w:hAnsi="Arial" w:hint="cs"/>
                    <w:b/>
                    <w:bCs/>
                    <w:noProof w:val="0"/>
                    <w:rtl/>
                  </w:rPr>
                  <w:t>ת</w:t>
                </w:r>
              </w:p>
            </w:sdtContent>
          </w:sdt>
        </w:tc>
        <w:tc>
          <w:tcPr>
            <w:tcW w:w="5399" w:type="dxa"/>
          </w:tcPr>
          <w:p w:rsidR="006E47E2" w:rsidRPr="00034D85" w:rsidRDefault="006E47E2" w:rsidP="00F8515C">
            <w:pPr>
              <w:rPr>
                <w:rFonts w:ascii="Arial" w:hAnsi="Arial"/>
                <w:b/>
                <w:bCs/>
                <w:noProof w:val="0"/>
                <w:rtl/>
              </w:rPr>
            </w:pPr>
          </w:p>
          <w:p w:rsidR="006E47E2" w:rsidRPr="00034D85" w:rsidRDefault="006E47E2" w:rsidP="00F8515C">
            <w:pPr>
              <w:rPr>
                <w:b/>
                <w:bCs/>
                <w:noProof w:val="0"/>
              </w:rPr>
            </w:pPr>
            <w:sdt>
              <w:sdtPr>
                <w:rPr>
                  <w:rtl/>
                </w:rPr>
                <w:alias w:val="1478"/>
                <w:tag w:val="1478"/>
                <w:id w:val="699975389"/>
                <w:text w:multiLine="1"/>
              </w:sdtPr>
              <w:sdtContent>
                <w:r>
                  <w:rPr>
                    <w:rFonts w:ascii="Arial" w:hAnsi="Arial"/>
                    <w:b/>
                    <w:bCs/>
                    <w:noProof w:val="0"/>
                    <w:rtl/>
                  </w:rPr>
                  <w:t>עיריית ראשון לציון</w:t>
                </w:r>
                <w:r>
                  <w:rPr>
                    <w:rFonts w:ascii="Arial" w:hAnsi="Arial"/>
                    <w:b/>
                    <w:bCs/>
                    <w:noProof w:val="0"/>
                    <w:rtl/>
                  </w:rPr>
                  <w:br/>
                </w:r>
                <w:r>
                  <w:rPr>
                    <w:rFonts w:hint="cs"/>
                    <w:rtl/>
                  </w:rPr>
                  <w:t>ע"י ב"כ עוה"ד ענבל לביא</w:t>
                </w:r>
              </w:sdtContent>
            </w:sdt>
          </w:p>
        </w:tc>
      </w:tr>
      <w:tr w:rsidR="006E47E2" w:rsidRPr="007905B3" w:rsidTr="00F8515C">
        <w:tc>
          <w:tcPr>
            <w:tcW w:w="8812" w:type="dxa"/>
            <w:gridSpan w:val="3"/>
          </w:tcPr>
          <w:p w:rsidR="006E47E2" w:rsidRPr="00034D85" w:rsidRDefault="006E47E2" w:rsidP="00F8515C">
            <w:pPr>
              <w:rPr>
                <w:rFonts w:ascii="Arial" w:hAnsi="Arial"/>
                <w:b/>
                <w:bCs/>
                <w:noProof w:val="0"/>
                <w:rtl/>
              </w:rPr>
            </w:pPr>
          </w:p>
          <w:p w:rsidR="006E47E2" w:rsidRPr="00034D85" w:rsidRDefault="006E47E2" w:rsidP="00F8515C">
            <w:pPr>
              <w:jc w:val="center"/>
              <w:rPr>
                <w:rFonts w:ascii="Arial" w:hAnsi="Arial"/>
                <w:b/>
                <w:bCs/>
                <w:noProof w:val="0"/>
                <w:rtl/>
              </w:rPr>
            </w:pPr>
            <w:r w:rsidRPr="00034D85">
              <w:rPr>
                <w:rFonts w:ascii="Arial" w:hAnsi="Arial"/>
                <w:b/>
                <w:bCs/>
                <w:noProof w:val="0"/>
                <w:rtl/>
              </w:rPr>
              <w:t>נגד</w:t>
            </w:r>
          </w:p>
          <w:p w:rsidR="006E47E2" w:rsidRPr="00034D85" w:rsidRDefault="006E47E2" w:rsidP="00F8515C">
            <w:pPr>
              <w:rPr>
                <w:rFonts w:ascii="Arial" w:hAnsi="Arial"/>
                <w:b/>
                <w:bCs/>
                <w:noProof w:val="0"/>
              </w:rPr>
            </w:pPr>
          </w:p>
        </w:tc>
      </w:tr>
      <w:tr w:rsidR="006E47E2" w:rsidRPr="007905B3" w:rsidTr="00F8515C">
        <w:tc>
          <w:tcPr>
            <w:tcW w:w="3413" w:type="dxa"/>
            <w:gridSpan w:val="2"/>
          </w:tcPr>
          <w:p w:rsidR="006E47E2" w:rsidRPr="00034D85" w:rsidRDefault="006E47E2" w:rsidP="00F8515C">
            <w:pPr>
              <w:rPr>
                <w:rFonts w:ascii="Arial" w:hAnsi="Arial"/>
                <w:b/>
                <w:bCs/>
                <w:noProof w:val="0"/>
                <w:rtl/>
              </w:rPr>
            </w:pPr>
          </w:p>
          <w:p w:rsidR="006E47E2" w:rsidRPr="00034D85" w:rsidRDefault="006E47E2" w:rsidP="00F8515C">
            <w:pPr>
              <w:rPr>
                <w:rFonts w:ascii="Arial" w:hAnsi="Arial"/>
                <w:b/>
                <w:bCs/>
                <w:noProof w:val="0"/>
              </w:rPr>
            </w:pPr>
            <w:sdt>
              <w:sdtPr>
                <w:rPr>
                  <w:rtl/>
                </w:rPr>
                <w:alias w:val="1184"/>
                <w:tag w:val="1184"/>
                <w:id w:val="-489867904"/>
                <w:text w:multiLine="1"/>
              </w:sdtPr>
              <w:sdtContent>
                <w:r>
                  <w:rPr>
                    <w:rFonts w:ascii="Arial" w:hAnsi="Arial"/>
                    <w:b/>
                    <w:bCs/>
                    <w:noProof w:val="0"/>
                    <w:rtl/>
                  </w:rPr>
                  <w:t>נתבע</w:t>
                </w:r>
                <w:r>
                  <w:rPr>
                    <w:rFonts w:ascii="Arial" w:hAnsi="Arial" w:hint="cs"/>
                    <w:b/>
                    <w:bCs/>
                    <w:noProof w:val="0"/>
                    <w:rtl/>
                  </w:rPr>
                  <w:t>ת</w:t>
                </w:r>
              </w:sdtContent>
            </w:sdt>
          </w:p>
        </w:tc>
        <w:tc>
          <w:tcPr>
            <w:tcW w:w="5399" w:type="dxa"/>
          </w:tcPr>
          <w:p w:rsidR="006E47E2" w:rsidRPr="00034D85" w:rsidRDefault="006E47E2" w:rsidP="00F8515C">
            <w:pPr>
              <w:rPr>
                <w:rFonts w:ascii="Arial" w:hAnsi="Arial"/>
                <w:b/>
                <w:bCs/>
                <w:noProof w:val="0"/>
                <w:rtl/>
              </w:rPr>
            </w:pPr>
          </w:p>
          <w:p w:rsidR="006E47E2" w:rsidRPr="00034D85" w:rsidRDefault="006E47E2" w:rsidP="00F8515C">
            <w:pPr>
              <w:rPr>
                <w:b/>
                <w:bCs/>
                <w:noProof w:val="0"/>
                <w:rtl/>
              </w:rPr>
            </w:pPr>
            <w:sdt>
              <w:sdtPr>
                <w:rPr>
                  <w:rtl/>
                </w:rPr>
                <w:alias w:val="1486"/>
                <w:tag w:val="1486"/>
                <w:id w:val="990219797"/>
                <w:text w:multiLine="1"/>
              </w:sdtPr>
              <w:sdtContent>
                <w:r>
                  <w:rPr>
                    <w:rFonts w:ascii="Arial" w:hAnsi="Arial" w:hint="cs"/>
                    <w:b/>
                    <w:bCs/>
                    <w:noProof w:val="0"/>
                    <w:rtl/>
                  </w:rPr>
                  <w:t>פלונית</w:t>
                </w:r>
                <w:r>
                  <w:rPr>
                    <w:rFonts w:ascii="Arial" w:hAnsi="Arial"/>
                    <w:b/>
                    <w:bCs/>
                    <w:noProof w:val="0"/>
                    <w:rtl/>
                  </w:rPr>
                  <w:br/>
                </w:r>
                <w:r>
                  <w:rPr>
                    <w:rFonts w:hint="cs"/>
                    <w:rtl/>
                  </w:rPr>
                  <w:t>ע"י ב"כ עוה"ד ענת אסייאג (מטעם הסיוע המשפטי)</w:t>
                </w:r>
              </w:sdtContent>
            </w:sdt>
          </w:p>
        </w:tc>
      </w:tr>
    </w:tbl>
    <w:p w:rsidR="006E47E2" w:rsidRDefault="006E47E2" w:rsidP="006E47E2">
      <w:pPr>
        <w:suppressLineNumbers/>
        <w:rPr>
          <w:rtl/>
        </w:rPr>
      </w:pPr>
    </w:p>
    <w:p w:rsidR="006E47E2" w:rsidRDefault="006E47E2" w:rsidP="006E47E2">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E47E2" w:rsidTr="00F8515C">
        <w:trPr>
          <w:jc w:val="center"/>
        </w:trPr>
        <w:tc>
          <w:tcPr>
            <w:tcW w:w="8820" w:type="dxa"/>
          </w:tcPr>
          <w:p w:rsidR="006E47E2" w:rsidRDefault="006E47E2" w:rsidP="00F8515C">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E47E2" w:rsidRDefault="006E47E2" w:rsidP="006E47E2">
      <w:pPr>
        <w:spacing w:line="360" w:lineRule="auto"/>
        <w:jc w:val="both"/>
        <w:rPr>
          <w:rFonts w:ascii="Arial" w:hAnsi="Arial"/>
          <w:noProof w:val="0"/>
          <w:rtl/>
        </w:rPr>
      </w:pPr>
    </w:p>
    <w:p w:rsidR="006E47E2" w:rsidRDefault="006E47E2" w:rsidP="006E47E2">
      <w:pPr>
        <w:spacing w:line="360" w:lineRule="auto"/>
        <w:jc w:val="both"/>
        <w:rPr>
          <w:rFonts w:ascii="David" w:hAnsi="David"/>
          <w:noProof w:val="0"/>
        </w:rPr>
      </w:pPr>
      <w:r>
        <w:rPr>
          <w:rFonts w:ascii="David" w:hAnsi="David"/>
          <w:rtl/>
        </w:rPr>
        <w:t>לפניי תביעה כספית ע"ס 10,448 ₪ בדיון מהיר שעניינה אי-תשלום חוב ארנונה.</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b/>
          <w:bCs/>
          <w:u w:val="single"/>
          <w:rtl/>
        </w:rPr>
      </w:pPr>
      <w:r>
        <w:rPr>
          <w:rFonts w:ascii="David" w:hAnsi="David"/>
          <w:b/>
          <w:bCs/>
          <w:u w:val="single"/>
          <w:rtl/>
        </w:rPr>
        <w:t>עיקר הקיים והרלוונטי בתיק</w:t>
      </w:r>
    </w:p>
    <w:p w:rsidR="006E47E2" w:rsidRDefault="006E47E2" w:rsidP="006E47E2">
      <w:pPr>
        <w:spacing w:line="360" w:lineRule="auto"/>
        <w:jc w:val="both"/>
        <w:rPr>
          <w:rFonts w:ascii="David" w:hAnsi="David"/>
          <w:rtl/>
        </w:rPr>
      </w:pPr>
    </w:p>
    <w:p w:rsidR="006E47E2" w:rsidRDefault="006E47E2" w:rsidP="006E47E2">
      <w:pPr>
        <w:pStyle w:val="a9"/>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19.5.2022 נפתח תיק בימ"ש זה, לצורך דיון בהתנגדות מטעם הנתבעת (בלבד) לביצוע תביעה על סכום קצוב של 10,448 ₪ שהגישה התובעת בתיק הוצל"פ 517806-01-22 נגד שניים: נגד הנתבעת ונגד </w:t>
      </w:r>
      <w:r>
        <w:rPr>
          <w:rFonts w:ascii="David" w:hAnsi="David" w:cs="David" w:hint="cs"/>
          <w:sz w:val="24"/>
          <w:szCs w:val="24"/>
          <w:rtl/>
        </w:rPr>
        <w:t>נתבע נוסף</w:t>
      </w:r>
      <w:r>
        <w:rPr>
          <w:rFonts w:ascii="David" w:hAnsi="David" w:cs="David"/>
          <w:sz w:val="24"/>
          <w:szCs w:val="24"/>
          <w:rtl/>
        </w:rPr>
        <w:t xml:space="preserve"> (להלן – "</w:t>
      </w:r>
      <w:r>
        <w:rPr>
          <w:rFonts w:ascii="David" w:hAnsi="David" w:cs="David"/>
          <w:b/>
          <w:bCs/>
          <w:sz w:val="24"/>
          <w:szCs w:val="24"/>
          <w:rtl/>
        </w:rPr>
        <w:t>התביעה</w:t>
      </w:r>
      <w:r>
        <w:rPr>
          <w:rFonts w:ascii="David" w:hAnsi="David" w:cs="David"/>
          <w:sz w:val="24"/>
          <w:szCs w:val="24"/>
          <w:rtl/>
        </w:rPr>
        <w:t>" ו"</w:t>
      </w:r>
      <w:r>
        <w:rPr>
          <w:rFonts w:ascii="David" w:hAnsi="David" w:cs="David"/>
          <w:b/>
          <w:bCs/>
          <w:sz w:val="24"/>
          <w:szCs w:val="24"/>
          <w:rtl/>
        </w:rPr>
        <w:t xml:space="preserve">הנתבע </w:t>
      </w:r>
      <w:r>
        <w:rPr>
          <w:rFonts w:ascii="David" w:hAnsi="David" w:cs="David" w:hint="cs"/>
          <w:b/>
          <w:bCs/>
          <w:sz w:val="24"/>
          <w:szCs w:val="24"/>
          <w:rtl/>
        </w:rPr>
        <w:t>הנוסף</w:t>
      </w:r>
      <w:r>
        <w:rPr>
          <w:rFonts w:ascii="David" w:hAnsi="David" w:cs="David"/>
          <w:sz w:val="24"/>
          <w:szCs w:val="24"/>
          <w:rtl/>
        </w:rPr>
        <w:t>", בהתאמה). כתב התביעה מייחס לשני הנתבעים חוב בגין אי-תשלום ארנונה כללית לשנים 2020-2018 כמחזיקים בנכס ברחוב</w:t>
      </w:r>
      <w:r>
        <w:rPr>
          <w:rFonts w:ascii="David" w:hAnsi="David" w:cs="David" w:hint="cs"/>
          <w:sz w:val="24"/>
          <w:szCs w:val="24"/>
          <w:rtl/>
        </w:rPr>
        <w:t xml:space="preserve"> ...</w:t>
      </w:r>
      <w:r>
        <w:rPr>
          <w:rFonts w:ascii="David" w:hAnsi="David" w:cs="David"/>
          <w:sz w:val="24"/>
          <w:szCs w:val="24"/>
          <w:rtl/>
        </w:rPr>
        <w:t xml:space="preserve"> בעיר ראשל"צ (להלן – "</w:t>
      </w:r>
      <w:r>
        <w:rPr>
          <w:rFonts w:ascii="David" w:hAnsi="David" w:cs="David"/>
          <w:b/>
          <w:bCs/>
          <w:sz w:val="24"/>
          <w:szCs w:val="24"/>
          <w:rtl/>
        </w:rPr>
        <w:t>חוב הארנונה</w:t>
      </w:r>
      <w:r>
        <w:rPr>
          <w:rFonts w:ascii="David" w:hAnsi="David" w:cs="David"/>
          <w:sz w:val="24"/>
          <w:szCs w:val="24"/>
          <w:rtl/>
        </w:rPr>
        <w:t>" ו"</w:t>
      </w:r>
      <w:r>
        <w:rPr>
          <w:rFonts w:ascii="David" w:hAnsi="David" w:cs="David"/>
          <w:b/>
          <w:bCs/>
          <w:sz w:val="24"/>
          <w:szCs w:val="24"/>
          <w:rtl/>
        </w:rPr>
        <w:t>הנכס</w:t>
      </w:r>
      <w:r>
        <w:rPr>
          <w:rFonts w:ascii="David" w:hAnsi="David" w:cs="David"/>
          <w:sz w:val="24"/>
          <w:szCs w:val="24"/>
          <w:rtl/>
        </w:rPr>
        <w:t>", בהתאמה), ושניהם נתבעים לפרוע את חוב הארנונה.</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ביום 7.6.2022 נעתרה בקשת הנתבעת מאותו יום לעיכוב הליכי הוצל"פ, ללא תנאי (הליכי ההוצל"פ לא עוכבו אוטומטית עם הגשת ההתנגדות, מאחר שזו הוגשה באיחור).</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5.7.2022 נערך </w:t>
      </w:r>
      <w:r>
        <w:rPr>
          <w:rFonts w:ascii="David" w:hAnsi="David" w:cs="David"/>
          <w:sz w:val="24"/>
          <w:szCs w:val="24"/>
          <w:u w:val="single"/>
          <w:rtl/>
        </w:rPr>
        <w:t>דיון בהתנגדות</w:t>
      </w:r>
      <w:r>
        <w:rPr>
          <w:rFonts w:ascii="David" w:hAnsi="David" w:cs="David"/>
          <w:sz w:val="24"/>
          <w:szCs w:val="24"/>
          <w:rtl/>
        </w:rPr>
        <w:t xml:space="preserve"> (בפני כב' המותב המטפל הקודם), שבו השמיעו ב"כ הצדדים טענות (הנתבעת לא נחקרה בדיון על תצהירה התומך בהתנגדות). בדיון הודיעו הצדדים על הסכמתם לקבלת ההתנגדות (למתן רשות להתגונן), הגם שהדבר לא בוטא בבהירות מספקת בפרוטוקול הדיון. </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ביום 6.11.2022 נתתי הוראות בדבר הגשת ראיות מטעם הצדדים, לקראת קדם משפט (נדחה) שקבעתי ביום 16.1.2023.</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5.12.2022 הוגשו </w:t>
      </w:r>
      <w:r>
        <w:rPr>
          <w:rFonts w:ascii="David" w:hAnsi="David" w:cs="David"/>
          <w:sz w:val="24"/>
          <w:szCs w:val="24"/>
          <w:u w:val="single"/>
          <w:rtl/>
        </w:rPr>
        <w:t>ראיות התובעת</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תצהיר עדות ראשית מיום 5.12.2022 של עו"ד מירב חן כ"מנהלת תחום אכיפה משפטית אצל התובעת".</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תצהיר עדות ראשית מיום 5.12.2022 של גב' מורן ברכה כ"מנהלת מחלקת הנחות אצל התובעת".</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ביום 12.1.2023 הוגשו </w:t>
      </w:r>
      <w:r>
        <w:rPr>
          <w:rFonts w:ascii="David" w:hAnsi="David" w:cs="David"/>
          <w:sz w:val="24"/>
          <w:szCs w:val="24"/>
          <w:u w:val="single"/>
          <w:rtl/>
        </w:rPr>
        <w:t>ראיות הנתבעת</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תצהיר עדות ראשית מיום 11.1.2023 של הנתבעת.</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12.1.2023 נעתרתי לבקשת הנתבעת מאותו יום לקיים דיון בתיק </w:t>
      </w:r>
      <w:r>
        <w:rPr>
          <w:rFonts w:ascii="David" w:hAnsi="David" w:cs="David"/>
          <w:b/>
          <w:bCs/>
          <w:sz w:val="24"/>
          <w:szCs w:val="24"/>
          <w:rtl/>
        </w:rPr>
        <w:t>בדלתיים סגורות</w:t>
      </w:r>
      <w:r>
        <w:rPr>
          <w:rFonts w:ascii="David" w:hAnsi="David" w:cs="David"/>
          <w:sz w:val="24"/>
          <w:szCs w:val="24"/>
          <w:rtl/>
        </w:rPr>
        <w:t>, נוכח מצבה הרפואי המדווח של הנתבעת.</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16.1.2023 נערך בפניי </w:t>
      </w:r>
      <w:r>
        <w:rPr>
          <w:rFonts w:ascii="David" w:hAnsi="David" w:cs="David"/>
          <w:sz w:val="24"/>
          <w:szCs w:val="24"/>
          <w:u w:val="single"/>
          <w:rtl/>
        </w:rPr>
        <w:t>דיון קדם משפט</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 xml:space="preserve">הדיון הוקלט במסגרת פרויקט תיעוד דיונים, כך שבתיק קיים קובץ שמע המהווה פרוטוקול. </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הדיון היה מבוזבז ולא מוצה, נוכח אי-התייצבות נציגת התובעת לדיון.</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בהחלטה המסיימת את הדיון נתתי הוראות דיוניות שונות.</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29.1.2023 הוגשה הודעה מטעם התובעת, שבה דווח בין היתר על אודות ההליכים נגד הנתבע </w:t>
      </w:r>
      <w:r>
        <w:rPr>
          <w:rFonts w:ascii="David" w:hAnsi="David" w:cs="David" w:hint="cs"/>
          <w:sz w:val="24"/>
          <w:szCs w:val="24"/>
          <w:rtl/>
        </w:rPr>
        <w:t>הנוסף</w:t>
      </w:r>
      <w:r>
        <w:rPr>
          <w:rFonts w:ascii="David" w:hAnsi="David" w:cs="David"/>
          <w:sz w:val="24"/>
          <w:szCs w:val="24"/>
          <w:rtl/>
        </w:rPr>
        <w:t>. דווח כי מתנהלים נגדו הליכי הוצל"פ שלא הניבו לפי שעה גבייה כלשהי, הוא הוכרז כ"חייב מוגבל באמצעים" בהוצל"פ, ולא הגיש התנגדות מטעמו לתביעה.</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ביום 9.2.2023 נתתי החלטה ובה הכרעתי בכמה עניינים דיוניים שעמדו על הפרק:</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נעתרתי לבקשה מיום 29.1.2023 מטעם הנתבעת לתיקון טעות בתצהיר העדות הראשית שלה.</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קבעתי שהתובעת לא תחויב בהוצאות לטובת הנתבעת בגין בזבוז דיון קדם המשפט הנ"ל.</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דחיתי את בקשת הנתבעת מיום 12.1.2023 להורות לתובעת לגלות מסמכים.</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קבעתי שאין צורך בנסיבות התיק בקביעת קדם משפט נוסף, וקבעתי מיד דיון הוכחות.</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rtl/>
        </w:rPr>
        <w:t xml:space="preserve">ביום 3.7.2023 נערך בפניי </w:t>
      </w:r>
      <w:r>
        <w:rPr>
          <w:rFonts w:ascii="David" w:hAnsi="David" w:cs="David"/>
          <w:sz w:val="24"/>
          <w:szCs w:val="24"/>
          <w:u w:val="single"/>
          <w:rtl/>
        </w:rPr>
        <w:t>דיון הוכחות</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הדיון הוקלט במסגרת פרויקט תיעוד דיונים, כך שבתיק קיים קובץ שמע המהווה פרוטוקול. בנוסף נסרק ביום 9.7.2023 מסמך עזר תמליל של הדיון המוקלט (להלן – "</w:t>
      </w:r>
      <w:r>
        <w:rPr>
          <w:rFonts w:ascii="David" w:hAnsi="David" w:cs="David"/>
          <w:b/>
          <w:bCs/>
          <w:sz w:val="24"/>
          <w:szCs w:val="24"/>
          <w:rtl/>
        </w:rPr>
        <w:t>תמליל ההוכחות</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 xml:space="preserve">נשמעה בדיון עדותן של </w:t>
      </w:r>
      <w:r>
        <w:rPr>
          <w:rFonts w:ascii="David" w:hAnsi="David" w:cs="David"/>
          <w:b/>
          <w:bCs/>
          <w:sz w:val="24"/>
          <w:szCs w:val="24"/>
          <w:rtl/>
        </w:rPr>
        <w:t>שלוש העדות</w:t>
      </w:r>
      <w:r>
        <w:rPr>
          <w:rFonts w:ascii="David" w:hAnsi="David" w:cs="David"/>
          <w:sz w:val="24"/>
          <w:szCs w:val="24"/>
          <w:rtl/>
        </w:rPr>
        <w:t xml:space="preserve"> הבאות, עפ"י ס</w:t>
      </w:r>
      <w:r>
        <w:rPr>
          <w:rFonts w:ascii="David" w:hAnsi="David" w:cs="David" w:hint="cs"/>
          <w:sz w:val="24"/>
          <w:szCs w:val="24"/>
          <w:rtl/>
        </w:rPr>
        <w:t>דר</w:t>
      </w:r>
      <w:r>
        <w:rPr>
          <w:rFonts w:ascii="David" w:hAnsi="David" w:cs="David"/>
          <w:sz w:val="24"/>
          <w:szCs w:val="24"/>
          <w:rtl/>
        </w:rPr>
        <w:t xml:space="preserve"> </w:t>
      </w:r>
      <w:proofErr w:type="spellStart"/>
      <w:r>
        <w:rPr>
          <w:rFonts w:ascii="David" w:hAnsi="David" w:cs="David"/>
          <w:sz w:val="24"/>
          <w:szCs w:val="24"/>
          <w:rtl/>
        </w:rPr>
        <w:t>ההעדה</w:t>
      </w:r>
      <w:proofErr w:type="spellEnd"/>
      <w:r>
        <w:rPr>
          <w:rFonts w:ascii="David" w:hAnsi="David" w:cs="David"/>
          <w:sz w:val="24"/>
          <w:szCs w:val="24"/>
          <w:rtl/>
        </w:rPr>
        <w:t xml:space="preserve"> הבא:</w:t>
      </w:r>
    </w:p>
    <w:p w:rsidR="006E47E2" w:rsidRDefault="006E47E2" w:rsidP="006E47E2">
      <w:pPr>
        <w:pStyle w:val="a9"/>
        <w:numPr>
          <w:ilvl w:val="2"/>
          <w:numId w:val="1"/>
        </w:numPr>
        <w:spacing w:line="360" w:lineRule="auto"/>
        <w:jc w:val="both"/>
        <w:rPr>
          <w:rFonts w:ascii="David" w:hAnsi="David" w:cs="David"/>
          <w:sz w:val="24"/>
          <w:szCs w:val="24"/>
        </w:rPr>
      </w:pPr>
      <w:r>
        <w:rPr>
          <w:rFonts w:ascii="David" w:hAnsi="David" w:cs="David"/>
          <w:sz w:val="24"/>
          <w:szCs w:val="24"/>
          <w:rtl/>
        </w:rPr>
        <w:t>מטעם התובעת – המצהירה גב' מורן ברכה.</w:t>
      </w:r>
    </w:p>
    <w:p w:rsidR="006E47E2" w:rsidRDefault="006E47E2" w:rsidP="006E47E2">
      <w:pPr>
        <w:pStyle w:val="a9"/>
        <w:numPr>
          <w:ilvl w:val="2"/>
          <w:numId w:val="1"/>
        </w:numPr>
        <w:spacing w:line="360" w:lineRule="auto"/>
        <w:jc w:val="both"/>
        <w:rPr>
          <w:rFonts w:ascii="David" w:hAnsi="David" w:cs="David"/>
          <w:sz w:val="24"/>
          <w:szCs w:val="24"/>
        </w:rPr>
      </w:pPr>
      <w:r>
        <w:rPr>
          <w:rFonts w:ascii="David" w:hAnsi="David" w:cs="David"/>
          <w:sz w:val="24"/>
          <w:szCs w:val="24"/>
          <w:rtl/>
        </w:rPr>
        <w:t>מטעם התובעת – המצהירה עו"ד מירב חן.</w:t>
      </w:r>
    </w:p>
    <w:p w:rsidR="006E47E2" w:rsidRDefault="006E47E2" w:rsidP="006E47E2">
      <w:pPr>
        <w:pStyle w:val="a9"/>
        <w:numPr>
          <w:ilvl w:val="2"/>
          <w:numId w:val="1"/>
        </w:numPr>
        <w:spacing w:line="360" w:lineRule="auto"/>
        <w:jc w:val="both"/>
        <w:rPr>
          <w:rFonts w:ascii="David" w:hAnsi="David" w:cs="David"/>
          <w:sz w:val="24"/>
          <w:szCs w:val="24"/>
        </w:rPr>
      </w:pPr>
      <w:r>
        <w:rPr>
          <w:rFonts w:ascii="David" w:hAnsi="David" w:cs="David"/>
          <w:sz w:val="24"/>
          <w:szCs w:val="24"/>
          <w:rtl/>
        </w:rPr>
        <w:t>מטעם הנתבעת – הנתבעת עצמה.</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בתום הדיון ומאחר שהתובעת לא הסכימה למתן פס"ד לפי סעיף 79א לחוק בתי המשפט, ירדה אפשרות זו מהפרק וניתנו הוראות בדבר הגשת סיכומים בכתב.</w:t>
      </w:r>
    </w:p>
    <w:p w:rsidR="006E47E2" w:rsidRDefault="006E47E2" w:rsidP="006E47E2">
      <w:pPr>
        <w:pStyle w:val="a9"/>
        <w:numPr>
          <w:ilvl w:val="0"/>
          <w:numId w:val="1"/>
        </w:numPr>
        <w:spacing w:line="360" w:lineRule="auto"/>
        <w:jc w:val="both"/>
        <w:rPr>
          <w:rFonts w:ascii="David" w:hAnsi="David" w:cs="David"/>
          <w:sz w:val="24"/>
          <w:szCs w:val="24"/>
        </w:rPr>
      </w:pPr>
      <w:r>
        <w:rPr>
          <w:rFonts w:ascii="David" w:hAnsi="David" w:cs="David"/>
          <w:sz w:val="24"/>
          <w:szCs w:val="24"/>
          <w:u w:val="single"/>
          <w:rtl/>
        </w:rPr>
        <w:t>סיכומים</w:t>
      </w:r>
      <w:r>
        <w:rPr>
          <w:rFonts w:ascii="David" w:hAnsi="David" w:cs="David"/>
          <w:sz w:val="24"/>
          <w:szCs w:val="24"/>
          <w:rtl/>
        </w:rPr>
        <w:t>:</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ביום 17.7.2023 הוגשו סיכומים עיקריים מטעם התובעת.</w:t>
      </w:r>
    </w:p>
    <w:p w:rsidR="006E47E2" w:rsidRDefault="006E47E2" w:rsidP="006E47E2">
      <w:pPr>
        <w:pStyle w:val="a9"/>
        <w:numPr>
          <w:ilvl w:val="2"/>
          <w:numId w:val="1"/>
        </w:numPr>
        <w:spacing w:line="360" w:lineRule="auto"/>
        <w:jc w:val="both"/>
        <w:rPr>
          <w:rFonts w:ascii="David" w:hAnsi="David" w:cs="David"/>
          <w:sz w:val="24"/>
          <w:szCs w:val="24"/>
        </w:rPr>
      </w:pPr>
      <w:r>
        <w:rPr>
          <w:rFonts w:ascii="David" w:hAnsi="David" w:cs="David"/>
          <w:sz w:val="24"/>
          <w:szCs w:val="24"/>
          <w:rtl/>
        </w:rPr>
        <w:lastRenderedPageBreak/>
        <w:t>ביום 19.7.2023 הוריתי לתובעת להגיש סיכומים חדשים, מאחר שלסיכומי יום 17.7.2023 היא הרשתה לעצמה לצרף ראיות חדשות שלא כדין.</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ביום 23.7.2023 הוגשו סיכומים עיקריים חדשים מטעם התובעת (בהמשך להחלטתי הנ"ל מיום 19.7.2023).</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ביום 2.8.2023 הוגשו סיכומים מטעם הנתבעת.</w:t>
      </w:r>
    </w:p>
    <w:p w:rsidR="006E47E2" w:rsidRDefault="006E47E2" w:rsidP="006E47E2">
      <w:pPr>
        <w:pStyle w:val="a9"/>
        <w:numPr>
          <w:ilvl w:val="1"/>
          <w:numId w:val="1"/>
        </w:numPr>
        <w:spacing w:line="360" w:lineRule="auto"/>
        <w:jc w:val="both"/>
        <w:rPr>
          <w:rFonts w:ascii="David" w:hAnsi="David" w:cs="David"/>
          <w:sz w:val="24"/>
          <w:szCs w:val="24"/>
        </w:rPr>
      </w:pPr>
      <w:r>
        <w:rPr>
          <w:rFonts w:ascii="David" w:hAnsi="David" w:cs="David"/>
          <w:sz w:val="24"/>
          <w:szCs w:val="24"/>
          <w:rtl/>
        </w:rPr>
        <w:t>ביום 8.8.2023 הוגשו סיכומי תשובה מטעם התובעת.</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b/>
          <w:bCs/>
          <w:u w:val="single"/>
          <w:rtl/>
        </w:rPr>
      </w:pPr>
      <w:r>
        <w:rPr>
          <w:rFonts w:ascii="David" w:hAnsi="David"/>
          <w:b/>
          <w:bCs/>
          <w:u w:val="single"/>
          <w:rtl/>
        </w:rPr>
        <w:t>דיון והכרעה</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התביעה מתקבלת, באופן חלקי.</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u w:val="single"/>
          <w:rtl/>
        </w:rPr>
      </w:pPr>
      <w:r>
        <w:rPr>
          <w:rFonts w:ascii="David" w:hAnsi="David"/>
          <w:u w:val="single"/>
          <w:rtl/>
        </w:rPr>
        <w:t>אין חולק על העובדות הבסיסיות הבאות</w:t>
      </w:r>
    </w:p>
    <w:p w:rsidR="006E47E2" w:rsidRDefault="006E47E2" w:rsidP="006E47E2">
      <w:pPr>
        <w:pStyle w:val="a9"/>
        <w:numPr>
          <w:ilvl w:val="0"/>
          <w:numId w:val="2"/>
        </w:numPr>
        <w:spacing w:line="360" w:lineRule="auto"/>
        <w:jc w:val="both"/>
        <w:rPr>
          <w:rFonts w:ascii="David" w:hAnsi="David" w:cs="David"/>
          <w:sz w:val="24"/>
          <w:szCs w:val="24"/>
          <w:rtl/>
        </w:rPr>
      </w:pPr>
      <w:r>
        <w:rPr>
          <w:rFonts w:ascii="David" w:hAnsi="David" w:cs="David"/>
          <w:sz w:val="24"/>
          <w:szCs w:val="24"/>
          <w:rtl/>
        </w:rPr>
        <w:t xml:space="preserve">הנתבעת החזיקה בנכס בתקופת החוב ביחד עם הנתבע </w:t>
      </w:r>
      <w:r>
        <w:rPr>
          <w:rFonts w:ascii="David" w:hAnsi="David" w:cs="David" w:hint="cs"/>
          <w:sz w:val="24"/>
          <w:szCs w:val="24"/>
          <w:rtl/>
        </w:rPr>
        <w:t>הנוסף</w:t>
      </w:r>
      <w:r>
        <w:rPr>
          <w:rFonts w:ascii="David" w:hAnsi="David" w:cs="David"/>
          <w:sz w:val="24"/>
          <w:szCs w:val="24"/>
          <w:rtl/>
        </w:rPr>
        <w:t>, בן זוגה באותה עת. הנכס שימש למגורי השניים, והם שכרו אותו.</w:t>
      </w:r>
    </w:p>
    <w:p w:rsidR="006E47E2" w:rsidRDefault="006E47E2" w:rsidP="006E47E2">
      <w:pPr>
        <w:pStyle w:val="a9"/>
        <w:numPr>
          <w:ilvl w:val="0"/>
          <w:numId w:val="2"/>
        </w:numPr>
        <w:spacing w:line="360" w:lineRule="auto"/>
        <w:jc w:val="both"/>
        <w:rPr>
          <w:rFonts w:ascii="David" w:hAnsi="David" w:cs="David"/>
          <w:sz w:val="24"/>
          <w:szCs w:val="24"/>
        </w:rPr>
      </w:pPr>
      <w:r>
        <w:rPr>
          <w:rFonts w:ascii="David" w:hAnsi="David" w:cs="David"/>
          <w:sz w:val="24"/>
          <w:szCs w:val="24"/>
          <w:rtl/>
        </w:rPr>
        <w:t>החוב מושא התביעה הינו בגין תקופת החוב והוא חושב כדין, כלומר עפ"י צווי הארנונה הרלוונטיים בנוגע לפרמטרים הפיסיים שלפיהם מחושב החיוב הרלוונטי בארנונה (שטח הנכס, מיקומו של הנכס, וכו').</w:t>
      </w:r>
    </w:p>
    <w:p w:rsidR="006E47E2" w:rsidRDefault="006E47E2" w:rsidP="006E47E2">
      <w:pPr>
        <w:pStyle w:val="a9"/>
        <w:numPr>
          <w:ilvl w:val="0"/>
          <w:numId w:val="2"/>
        </w:numPr>
        <w:spacing w:line="360" w:lineRule="auto"/>
        <w:jc w:val="both"/>
        <w:rPr>
          <w:rFonts w:ascii="David" w:hAnsi="David" w:cs="David"/>
          <w:sz w:val="24"/>
          <w:szCs w:val="24"/>
        </w:rPr>
      </w:pPr>
      <w:r>
        <w:rPr>
          <w:rFonts w:ascii="David" w:hAnsi="David" w:cs="David"/>
          <w:sz w:val="24"/>
          <w:szCs w:val="24"/>
          <w:rtl/>
        </w:rPr>
        <w:t>החוב מושא התביעה לא שולם בפועל.</w:t>
      </w:r>
    </w:p>
    <w:p w:rsidR="006E47E2" w:rsidRDefault="006E47E2" w:rsidP="006E47E2">
      <w:pPr>
        <w:pStyle w:val="a9"/>
        <w:numPr>
          <w:ilvl w:val="0"/>
          <w:numId w:val="2"/>
        </w:numPr>
        <w:spacing w:line="360" w:lineRule="auto"/>
        <w:jc w:val="both"/>
        <w:rPr>
          <w:rFonts w:ascii="David" w:hAnsi="David" w:cs="David"/>
          <w:sz w:val="24"/>
          <w:szCs w:val="24"/>
        </w:rPr>
      </w:pPr>
      <w:r>
        <w:rPr>
          <w:rFonts w:ascii="David" w:hAnsi="David" w:cs="David"/>
          <w:sz w:val="24"/>
          <w:szCs w:val="24"/>
          <w:rtl/>
        </w:rPr>
        <w:t>הנתבעת הייתה זכאית, מבחינה מהותית/עקרונית ובזמן אמת, להנחה בארנונה בשיעור של 80% מחיוב הארנונה, לכל תקופת החוב/ההחזקה בנכס.</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u w:val="single"/>
          <w:rtl/>
        </w:rPr>
      </w:pPr>
      <w:r>
        <w:rPr>
          <w:rFonts w:ascii="David" w:hAnsi="David"/>
          <w:u w:val="single"/>
          <w:rtl/>
        </w:rPr>
        <w:t>התובעת לא יישמה באופן חוקי נכון את ההנחה מארנונה לה זכאית הנתבעת</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 xml:space="preserve">התובעת מחזיקה בעמדה, לפיה הנתבעת הייתה זכאית (מהותית/עקרונית) להנחה בשיעור של 80% רק מתוך מחצית משטח הנכס (כאשר במחצית הנותרת מחזיק רעיונית הנתבע </w:t>
      </w:r>
      <w:r>
        <w:rPr>
          <w:rFonts w:ascii="David" w:hAnsi="David" w:hint="cs"/>
          <w:rtl/>
        </w:rPr>
        <w:t>הנוסף</w:t>
      </w:r>
      <w:r>
        <w:rPr>
          <w:rFonts w:ascii="David" w:hAnsi="David"/>
          <w:rtl/>
        </w:rPr>
        <w:t xml:space="preserve"> ולכן אותה מחצית שנייה אינה נהנית מכל הנחה בארנונה), אך, באותה נשימה, התובעת מחזיקה בעמדה נוספת, לפיה הנתבעת מחויבת, בנוסף ל-20% מהחיוב הנוגע למחצית שלה בנכס, גם ל- 100% מהחיוב הנוגע למחצית של בן זוגה לשעבר, הנתבע </w:t>
      </w:r>
      <w:r>
        <w:rPr>
          <w:rFonts w:ascii="David" w:hAnsi="David" w:hint="cs"/>
          <w:rtl/>
        </w:rPr>
        <w:t>הנוסף</w:t>
      </w:r>
      <w:r>
        <w:rPr>
          <w:rFonts w:ascii="David" w:hAnsi="David"/>
          <w:rtl/>
        </w:rPr>
        <w:t>, וזאת מאחר שהחבות בארנונה הינה יחד ולחוד.</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lastRenderedPageBreak/>
        <w:t xml:space="preserve">הנתבעת מתנגדת לעמדה זו של התובעת, ומציגה עמדה נגדית, לפיה הנתבעת אינה אמורה לחוב יחד ולחוד בחובו או בחלקו הנ"ל של הנתבע </w:t>
      </w:r>
      <w:r>
        <w:rPr>
          <w:rFonts w:ascii="David" w:hAnsi="David" w:hint="cs"/>
          <w:rtl/>
        </w:rPr>
        <w:t>הנוסף</w:t>
      </w:r>
      <w:r>
        <w:rPr>
          <w:rFonts w:ascii="David" w:hAnsi="David"/>
          <w:rtl/>
        </w:rPr>
        <w:t>, ועל התובעת היה לחייבה רק בגין 20% ממחצית שטח הנכס.</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לאחר שנתתי דעתי למכלול טענות וראיות הצדדים, מצאתי את עמדת הנתבעת עדיפה על פני זו של התובעת.</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 xml:space="preserve">תחילה יש לומר, כי אין בנמצא חיקוק רלוונטי (ולמצער זה לא הוצג לי), שקובע כי כאשר זכאי להנחה מארנונה דוגמת הנתבעת מתגורר עם אחר שאינו זכאי להנחה, רשאית התובעת לפצל רעיונית את החיוב ואת שטח הנכס, ולייחס את חציו לזכאי ואת חציו הנותר לזה שאינו זכאי (כפי שהתובעת שלנו עשתה במקרה הנדון). עיינתי </w:t>
      </w:r>
      <w:r>
        <w:rPr>
          <w:rFonts w:ascii="David" w:hAnsi="David"/>
          <w:u w:val="single"/>
          <w:rtl/>
        </w:rPr>
        <w:t>בתקנות הסדרים במשק המדינה (הנחה מארנונה), תשנ"ג – 1993</w:t>
      </w:r>
      <w:r>
        <w:rPr>
          <w:rFonts w:ascii="David" w:hAnsi="David"/>
          <w:rtl/>
        </w:rPr>
        <w:t xml:space="preserve"> הרלוונטיות, שאליהן גם התייחסו הצדדים, ולא מצאתי בהן הסדרה של עניין זה.</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 xml:space="preserve">התובעת מבססת את עמדתה הנ"ל על דברים שנאמרו ב-עת"מ (מחוזי חיפה) 15694-09-18 </w:t>
      </w:r>
      <w:r>
        <w:rPr>
          <w:rFonts w:ascii="David" w:hAnsi="David"/>
          <w:b/>
          <w:bCs/>
          <w:rtl/>
        </w:rPr>
        <w:t>מושאילוב נ' עיריית חדרה</w:t>
      </w:r>
      <w:r>
        <w:rPr>
          <w:rFonts w:ascii="David" w:hAnsi="David"/>
          <w:rtl/>
        </w:rPr>
        <w:t xml:space="preserve"> (פורסם בנבו, 28.10.2018), אך עיון בפס"ד זה אינו תומך בעמדת התובעת. פס"ד מושאילוב אכן קובע כי ראוי לבצע חלוקה רעיונית של נכס לצורכי מתן הנחה מארנונה, באופן שבו ההנחה לזכאי להנחה תינתן רק ביחס לחלק מהנכס (לאחר חלוקתו הרעיונית למספר "יחידות שומה", כמספר הדיירים בנכס), ואילו לשאר המתגוררים בנכס, שאינם זכאים להנחה, לא תינתן הנחה וה</w:t>
      </w:r>
      <w:r>
        <w:rPr>
          <w:rFonts w:ascii="David" w:hAnsi="David" w:hint="cs"/>
          <w:rtl/>
        </w:rPr>
        <w:t>ם</w:t>
      </w:r>
      <w:r>
        <w:rPr>
          <w:rFonts w:ascii="David" w:hAnsi="David"/>
          <w:rtl/>
        </w:rPr>
        <w:t xml:space="preserve"> ייחשבו רעיונית כבעלי יחידת שומה נפרדת בנכס מיחידתו של הזכאי להנחה. פס"ד מושאילוב </w:t>
      </w:r>
      <w:r>
        <w:rPr>
          <w:rFonts w:ascii="David" w:hAnsi="David"/>
          <w:u w:val="single"/>
          <w:rtl/>
        </w:rPr>
        <w:t>אינו קובע</w:t>
      </w:r>
      <w:r>
        <w:rPr>
          <w:rFonts w:ascii="David" w:hAnsi="David"/>
          <w:rtl/>
        </w:rPr>
        <w:t xml:space="preserve">, כי, למרות אותה חלוקה לצורכי הנחה מארנונה, הזכאי להנחה חב יחד ולחוד עם מי שאינו זכאי להנחה בחבות הארנונה בגין כל שטח הנכס, והדבר אף נוגד את הרציונאל של פסה"ד, שמדבר כאמור על הפרדה (רעיונית) בין מה ששייך לזכאי להנחה מתוך הנכס לבין מה ששייך לדיירים אחרים בנכס שאינם זכאים להנחה. </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 xml:space="preserve">לטעמי, עמדת התובעת הנ"ל נגועה באבסורד ויוצרת עוול כלפי הנתבעת, משום, שמצד אחד, היא מבצעת חלוקה רעיונית כאמור של הנכס כדי לא לזכות את הנתבעת בהנחה על מלוא שטח הנכס, אך, מצד שני, היא מתעלמת מאותה חלוקה רעיונית בכך שמתיימרת לחייב את הנתבעת גם בחלקו של הנתבע </w:t>
      </w:r>
      <w:r>
        <w:rPr>
          <w:rFonts w:ascii="David" w:hAnsi="David" w:hint="cs"/>
          <w:rtl/>
        </w:rPr>
        <w:t>הנוסף</w:t>
      </w:r>
      <w:r>
        <w:rPr>
          <w:rFonts w:ascii="David" w:hAnsi="David"/>
          <w:rtl/>
        </w:rPr>
        <w:t>, שאינו שייך לנתבעת עפ"י אותה חלוקה רעיונית, שהיא יצירתה של התובעת עצמה. התובעת מתיימרת בכך לאחוז את החבל בשני קצותיו.</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 xml:space="preserve">אשר על כן, אני קובע כי התנהלות התובעת במהלך השנים אל מול הנתבעת, בכל הנוגע לאופן שבו יישמה התובעת את זכאות הנתבעת להנחה, וממילא בכל הנוגע לחיוביה השונים בארנונה, הייתה התנהלות בלתי חוקית ובלתי נכונה. ולכן אני סבור שהתובעת אינה רשאית למנוע מהנתבעת לשלם בדיעבד את המגיע (ורק את המגיע), למרות מחדלה של הנתבעת להסדיר את הנחוץ בזמן אמת. </w:t>
      </w:r>
      <w:r>
        <w:rPr>
          <w:rFonts w:ascii="David" w:hAnsi="David"/>
          <w:rtl/>
        </w:rPr>
        <w:lastRenderedPageBreak/>
        <w:t>בהקשר זה לקחתי בחשבון גם את העובדה, שהתובעת מודה כי הנתבעת פנתה אליה בתום תקופת החוב כדי לברר אם קיים חוב, והתובעת אמרה לנתבעת שלא קיים חוב. קשה לקבל את הסברה של התובעת למחדלה זה (הסבר לפיו מקור הטעות בכך שהחוב לא אותר באותה שיחה לפי מספר הזהות של הנתבעת), מה גם שהתובעת בחרה להסתיר את התיעוד הקיים בידיה (כולל הקלטה של אותה שיחה) בנוגע לאותה שיחה. עובדות אלו תומכות גם הן במסקנה לפיה יש לאפשר לנתבעת להסדיר בדיעבד את חובה הנכון כלפי התובעת.</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u w:val="single"/>
          <w:rtl/>
        </w:rPr>
      </w:pPr>
      <w:r>
        <w:rPr>
          <w:rFonts w:ascii="David" w:hAnsi="David"/>
          <w:u w:val="single"/>
          <w:rtl/>
        </w:rPr>
        <w:t>סיכום</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התביעה מתקבלת, באופן חלקי.</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הנתבעת תשלם לתובעת 1,045 ₪ (לפי תחשיב של 20% מתוך מחצית סכום התביעה), בצירוף הפרשי הצמדה וריבית לפי חוק הרשויות המקומיות (ריבית והפרשי הצמדה על תשלומי חובה), תש"ם – 1980, מיום 23.1.2022 (יום פתיחת תיק ההוצל"פ) ועד יום התשלום המלא בפועל.</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בנוסף, הנתבעת תשלם לתובעת הוצאות משפט בסך של 1,000 ₪ ושכ"ט עו"ד בסך של 1,200 ₪.</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היה והנתבעת לא תשלם לתובעת את מלוא הסכומים הנ"ל עד יום 10.9.2023, תהיה רשאית התובעת לחדש את ההליכים בתיק ההוצל"פ הנ"ל, לאחר התאמת/הפחתת קרן חוב מתאימות.</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David" w:hAnsi="David"/>
          <w:rtl/>
        </w:rPr>
      </w:pPr>
      <w:r>
        <w:rPr>
          <w:rFonts w:ascii="David" w:hAnsi="David"/>
          <w:rtl/>
        </w:rPr>
        <w:t>המזכירות תשלח את פסה"ד לצדדים ותסגור את התיק.</w:t>
      </w:r>
    </w:p>
    <w:p w:rsidR="006E47E2" w:rsidRDefault="006E47E2" w:rsidP="006E47E2">
      <w:pPr>
        <w:spacing w:line="360" w:lineRule="auto"/>
        <w:jc w:val="both"/>
        <w:rPr>
          <w:rFonts w:ascii="David" w:hAnsi="David"/>
          <w:rtl/>
        </w:rPr>
      </w:pPr>
    </w:p>
    <w:p w:rsidR="006E47E2" w:rsidRDefault="006E47E2" w:rsidP="006E47E2">
      <w:pPr>
        <w:spacing w:line="360" w:lineRule="auto"/>
        <w:jc w:val="both"/>
        <w:rPr>
          <w:rFonts w:ascii="Arial" w:hAnsi="Arial"/>
          <w:noProof w:val="0"/>
          <w:rtl/>
        </w:rPr>
      </w:pPr>
    </w:p>
    <w:p w:rsidR="006E47E2" w:rsidRDefault="006E47E2" w:rsidP="006E47E2">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05922585"/>
          <w:text w:multiLine="1"/>
        </w:sdtPr>
        <w:sdtContent>
          <w:r>
            <w:rPr>
              <w:rFonts w:ascii="Arial" w:hAnsi="Arial"/>
              <w:noProof w:val="0"/>
              <w:rtl/>
            </w:rPr>
            <w:t>כ"ג אב תשפ"ג</w:t>
          </w:r>
        </w:sdtContent>
      </w:sdt>
      <w:r>
        <w:rPr>
          <w:rFonts w:ascii="Arial" w:hAnsi="Arial"/>
          <w:noProof w:val="0"/>
          <w:rtl/>
        </w:rPr>
        <w:t xml:space="preserve">, </w:t>
      </w:r>
      <w:sdt>
        <w:sdtPr>
          <w:rPr>
            <w:rtl/>
          </w:rPr>
          <w:alias w:val="1456"/>
          <w:tag w:val="1456"/>
          <w:id w:val="1804576169"/>
          <w:text w:multiLine="1"/>
        </w:sdtPr>
        <w:sdtContent>
          <w:r>
            <w:rPr>
              <w:rFonts w:ascii="Arial" w:hAnsi="Arial"/>
              <w:noProof w:val="0"/>
              <w:rtl/>
            </w:rPr>
            <w:t>10 אוגוסט 2023</w:t>
          </w:r>
        </w:sdtContent>
      </w:sdt>
      <w:r>
        <w:rPr>
          <w:rFonts w:ascii="Arial" w:hAnsi="Arial"/>
          <w:noProof w:val="0"/>
          <w:rtl/>
        </w:rPr>
        <w:t>, בהעדר הצדדים.</w:t>
      </w:r>
    </w:p>
    <w:p w:rsidR="006E47E2" w:rsidRDefault="006E47E2" w:rsidP="006E47E2">
      <w:pPr>
        <w:spacing w:line="360" w:lineRule="auto"/>
        <w:jc w:val="both"/>
        <w:rPr>
          <w:rFonts w:ascii="Arial" w:hAnsi="Arial"/>
          <w:noProof w:val="0"/>
          <w:rtl/>
        </w:rPr>
      </w:pPr>
      <w:r>
        <w:rPr>
          <w:rFonts w:ascii="Arial" w:hAnsi="Arial" w:hint="cs"/>
          <w:noProof w:val="0"/>
          <w:rtl/>
        </w:rPr>
        <w:t>[אציין כי נוסח פס"ד זה מיום 29.8.2023 הינו מצונזר ואינו כולל פרטים מזהים של הנתבעת לצורכי פרסומו]</w:t>
      </w:r>
    </w:p>
    <w:p w:rsidR="006E47E2" w:rsidRDefault="006E47E2" w:rsidP="006E47E2">
      <w:pPr>
        <w:spacing w:line="360" w:lineRule="auto"/>
        <w:ind w:left="3600" w:firstLine="720"/>
        <w:jc w:val="center"/>
      </w:pPr>
      <w:sdt>
        <w:sdtPr>
          <w:rPr>
            <w:rtl/>
          </w:rPr>
          <w:alias w:val="MergeField"/>
          <w:tag w:val="1237"/>
          <w:id w:val="-1182432187"/>
        </w:sdtPr>
        <w:sdtContent>
          <w:r>
            <w:drawing>
              <wp:inline distT="0" distB="0" distL="0" distR="0" wp14:anchorId="27D3122A" wp14:editId="676CAF18">
                <wp:extent cx="1238250" cy="1171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5" cstate="print">
                          <a:extLst/>
                        </a:blip>
                        <a:stretch>
                          <a:fillRect/>
                        </a:stretch>
                      </pic:blipFill>
                      <pic:spPr>
                        <a:xfrm>
                          <a:off x="0" y="0"/>
                          <a:ext cx="1238250" cy="1171575"/>
                        </a:xfrm>
                        <a:prstGeom prst="rect">
                          <a:avLst/>
                        </a:prstGeom>
                      </pic:spPr>
                    </pic:pic>
                  </a:graphicData>
                </a:graphic>
              </wp:inline>
            </w:drawing>
          </w:r>
        </w:sdtContent>
      </w:sdt>
    </w:p>
    <w:p w:rsidR="006E47E2" w:rsidRDefault="006E47E2" w:rsidP="006E47E2">
      <w:pPr>
        <w:spacing w:line="360" w:lineRule="auto"/>
        <w:ind w:left="3600" w:firstLine="720"/>
        <w:jc w:val="center"/>
        <w:rPr>
          <w:rFonts w:ascii="Arial" w:hAnsi="Arial"/>
          <w:noProof w:val="0"/>
          <w:rtl/>
        </w:rPr>
      </w:pPr>
    </w:p>
    <w:p w:rsidR="00C83A2A" w:rsidRDefault="00C83A2A"/>
    <w:sectPr w:rsidR="00C83A2A" w:rsidSect="00893BDF">
      <w:headerReference w:type="default" r:id="rId6"/>
      <w:footerReference w:type="default" r:id="rId7"/>
      <w:pgSz w:w="11907" w:h="16840" w:code="9"/>
      <w:pgMar w:top="1440" w:right="1800" w:bottom="1440" w:left="1800" w:header="720" w:footer="737" w:gutter="0"/>
      <w:lnNumType w:countBy="1"/>
      <w:cols w:space="720"/>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6E47E2">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Pr>
        <w:rStyle w:val="a8"/>
        <w:rtl/>
      </w:rPr>
      <w:t>5</w:t>
    </w:r>
    <w:r w:rsidRPr="004E6E3C">
      <w:rPr>
        <w:rStyle w:val="a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E47E2">
    <w:pPr>
      <w:pStyle w:val="a3"/>
      <w:jc w:val="center"/>
      <w:rPr>
        <w:rFonts w:cs="FrankRuehl"/>
        <w:noProof w:val="0"/>
        <w:sz w:val="28"/>
        <w:szCs w:val="28"/>
        <w:rtl/>
      </w:rPr>
    </w:pPr>
    <w:r>
      <w:rPr>
        <w:rFonts w:cs="FrankRuehl"/>
        <w:sz w:val="28"/>
        <w:szCs w:val="28"/>
      </w:rPr>
      <w:drawing>
        <wp:inline distT="0" distB="0" distL="0" distR="0" wp14:anchorId="51850303" wp14:editId="76D16DD1">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09"/>
      <w:gridCol w:w="3498"/>
    </w:tblGrid>
    <w:tr w:rsidR="00694556" w:rsidTr="00686C21">
      <w:trPr>
        <w:trHeight w:hRule="exact" w:val="704"/>
        <w:jc w:val="center"/>
      </w:trPr>
      <w:tc>
        <w:tcPr>
          <w:tcW w:w="8721" w:type="dxa"/>
          <w:gridSpan w:val="2"/>
        </w:tcPr>
        <w:sdt>
          <w:sdtPr>
            <w:rPr>
              <w:rFonts w:ascii="Tahoma" w:hAnsi="Tahoma" w:cs="Tahoma"/>
              <w:b/>
              <w:bCs/>
              <w:noProof w:val="0"/>
              <w:color w:val="000080"/>
              <w:rtl/>
            </w:rPr>
            <w:alias w:val="1174"/>
            <w:tag w:val="1174"/>
            <w:id w:val="-1891094949"/>
            <w:placeholder/>
            <w:text w:multiLine="1"/>
          </w:sdtPr>
          <w:sdtEndPr/>
          <w:sdtContent>
            <w:p w:rsidR="003B4510" w:rsidRDefault="006E47E2">
              <w:pPr>
                <w:pStyle w:val="a3"/>
                <w:jc w:val="center"/>
                <w:rPr>
                  <w:rFonts w:ascii="Tahoma" w:hAnsi="Tahoma" w:cs="Tahoma"/>
                  <w:b/>
                  <w:bCs/>
                  <w:noProof w:val="0"/>
                  <w:color w:val="000080"/>
                </w:rPr>
              </w:pPr>
              <w:r>
                <w:rPr>
                  <w:rFonts w:ascii="Tahoma" w:hAnsi="Tahoma" w:cs="Tahoma"/>
                  <w:b/>
                  <w:bCs/>
                  <w:noProof w:val="0"/>
                  <w:color w:val="000080"/>
                  <w:rtl/>
                </w:rPr>
                <w:t>בית משפט השלום בתל אביב -יפו</w:t>
              </w:r>
            </w:p>
          </w:sdtContent>
        </w:sdt>
        <w:p w:rsidR="00694556" w:rsidRDefault="006E47E2">
          <w:pPr>
            <w:pStyle w:val="a3"/>
            <w:jc w:val="center"/>
            <w:rPr>
              <w:rFonts w:ascii="Tahoma" w:hAnsi="Tahoma" w:cs="Tahoma"/>
              <w:noProof w:val="0"/>
              <w:color w:val="000080"/>
              <w:rtl/>
            </w:rPr>
          </w:pPr>
        </w:p>
      </w:tc>
    </w:tr>
    <w:tr w:rsidR="00694556">
      <w:trPr>
        <w:trHeight w:val="337"/>
        <w:jc w:val="center"/>
      </w:trPr>
      <w:tc>
        <w:tcPr>
          <w:tcW w:w="5047" w:type="dxa"/>
        </w:tcPr>
        <w:p w:rsidR="00694556" w:rsidRDefault="006E47E2">
          <w:pPr>
            <w:rPr>
              <w:b/>
              <w:bCs/>
              <w:noProof w:val="0"/>
              <w:sz w:val="26"/>
              <w:szCs w:val="26"/>
              <w:rtl/>
            </w:rPr>
          </w:pPr>
        </w:p>
      </w:tc>
      <w:tc>
        <w:tcPr>
          <w:tcW w:w="3674" w:type="dxa"/>
        </w:tcPr>
        <w:p w:rsidR="00694556" w:rsidRDefault="006E47E2">
          <w:pPr>
            <w:pStyle w:val="a3"/>
            <w:jc w:val="right"/>
            <w:rPr>
              <w:b/>
              <w:bCs/>
              <w:noProof w:val="0"/>
              <w:sz w:val="26"/>
              <w:szCs w:val="26"/>
              <w:rtl/>
            </w:rPr>
          </w:pPr>
        </w:p>
      </w:tc>
    </w:tr>
    <w:tr w:rsidR="00694556">
      <w:trPr>
        <w:trHeight w:val="337"/>
        <w:jc w:val="center"/>
      </w:trPr>
      <w:tc>
        <w:tcPr>
          <w:tcW w:w="8721" w:type="dxa"/>
          <w:gridSpan w:val="2"/>
        </w:tcPr>
        <w:p w:rsidR="00694556" w:rsidRPr="007905B3" w:rsidRDefault="006E47E2" w:rsidP="005C0140">
          <w:pPr>
            <w:rPr>
              <w:b/>
              <w:bCs/>
              <w:noProof w:val="0"/>
              <w:sz w:val="26"/>
              <w:szCs w:val="26"/>
              <w:rtl/>
            </w:rPr>
          </w:pPr>
          <w:sdt>
            <w:sdtPr>
              <w:rPr>
                <w:rtl/>
              </w:rPr>
              <w:alias w:val="1170"/>
              <w:tag w:val="1170"/>
              <w:id w:val="-597865344"/>
              <w:text w:multiLine="1"/>
            </w:sdtPr>
            <w:sdtEndPr/>
            <w:sdtContent>
              <w:proofErr w:type="spellStart"/>
              <w:r>
                <w:rPr>
                  <w:b/>
                  <w:bCs/>
                  <w:noProof w:val="0"/>
                  <w:sz w:val="26"/>
                  <w:szCs w:val="26"/>
                  <w:rtl/>
                </w:rPr>
                <w:t>תאד"מ</w:t>
              </w:r>
              <w:proofErr w:type="spellEnd"/>
            </w:sdtContent>
          </w:sdt>
          <w:r>
            <w:rPr>
              <w:b/>
              <w:bCs/>
              <w:noProof w:val="0"/>
              <w:sz w:val="26"/>
              <w:szCs w:val="26"/>
              <w:rtl/>
            </w:rPr>
            <w:t xml:space="preserve"> </w:t>
          </w:r>
          <w:sdt>
            <w:sdtPr>
              <w:rPr>
                <w:rtl/>
              </w:rPr>
              <w:alias w:val="1171"/>
              <w:tag w:val="1171"/>
              <w:id w:val="711846861"/>
              <w:text w:multiLine="1"/>
            </w:sdtPr>
            <w:sdtEndPr/>
            <w:sdtContent>
              <w:r>
                <w:rPr>
                  <w:b/>
                  <w:bCs/>
                  <w:noProof w:val="0"/>
                  <w:sz w:val="26"/>
                  <w:szCs w:val="26"/>
                  <w:rtl/>
                </w:rPr>
                <w:t>41753-05-22</w:t>
              </w:r>
            </w:sdtContent>
          </w:sdt>
          <w:r>
            <w:rPr>
              <w:b/>
              <w:bCs/>
              <w:noProof w:val="0"/>
              <w:sz w:val="26"/>
              <w:szCs w:val="26"/>
              <w:rtl/>
            </w:rPr>
            <w:t xml:space="preserve"> </w:t>
          </w:r>
          <w:sdt>
            <w:sdtPr>
              <w:rPr>
                <w:rtl/>
              </w:rPr>
              <w:alias w:val="1172"/>
              <w:tag w:val="1172"/>
              <w:id w:val="-1938363347"/>
              <w:text w:multiLine="1"/>
            </w:sdtPr>
            <w:sdtEndPr/>
            <w:sdtContent>
              <w:r>
                <w:rPr>
                  <w:b/>
                  <w:bCs/>
                  <w:noProof w:val="0"/>
                  <w:sz w:val="26"/>
                  <w:szCs w:val="26"/>
                  <w:rtl/>
                </w:rPr>
                <w:t xml:space="preserve">עיריית ראשון לציון נ' </w:t>
              </w:r>
              <w:r>
                <w:rPr>
                  <w:rFonts w:hint="cs"/>
                  <w:b/>
                  <w:bCs/>
                  <w:noProof w:val="0"/>
                  <w:sz w:val="26"/>
                  <w:szCs w:val="26"/>
                  <w:rtl/>
                </w:rPr>
                <w:t>פלונית</w:t>
              </w:r>
            </w:sdtContent>
          </w:sdt>
        </w:p>
        <w:p w:rsidR="008D10B2" w:rsidRDefault="006E47E2">
          <w:pPr>
            <w:rPr>
              <w:rtl/>
            </w:rPr>
          </w:pPr>
          <w:r w:rsidRPr="008D10B2">
            <w:rPr>
              <w:rFonts w:hint="cs"/>
              <w:sz w:val="20"/>
              <w:szCs w:val="20"/>
              <w:rtl/>
            </w:rPr>
            <w:t>תיק חיצוני</w:t>
          </w:r>
          <w:r>
            <w:rPr>
              <w:rFonts w:hint="cs"/>
              <w:rtl/>
            </w:rPr>
            <w:t xml:space="preserve">: </w:t>
          </w:r>
          <w:sdt>
            <w:sdtPr>
              <w:rPr>
                <w:rtl/>
              </w:rPr>
              <w:alias w:val="1198"/>
              <w:tag w:val="1198"/>
              <w:id w:val="-871382701"/>
              <w:text w:multiLine="1"/>
            </w:sdtPr>
            <w:sdtEndPr/>
            <w:sdtContent>
              <w:r>
                <w:rPr>
                  <w:sz w:val="20"/>
                  <w:szCs w:val="20"/>
                  <w:rtl/>
                </w:rPr>
                <w:t>517806-01-22</w:t>
              </w:r>
            </w:sdtContent>
          </w:sdt>
        </w:p>
      </w:tc>
    </w:tr>
  </w:tbl>
  <w:p w:rsidR="00694556" w:rsidRDefault="006E47E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356401"/>
    <w:multiLevelType w:val="hybridMultilevel"/>
    <w:tmpl w:val="8836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2AC520A"/>
    <w:multiLevelType w:val="hybridMultilevel"/>
    <w:tmpl w:val="1E4CA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7E2"/>
    <w:rsid w:val="00696F54"/>
    <w:rsid w:val="006E47E2"/>
    <w:rsid w:val="00C83A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CC859191-FF8D-4627-98CE-5F3C4D1DD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47E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E47E2"/>
    <w:pPr>
      <w:tabs>
        <w:tab w:val="center" w:pos="4153"/>
        <w:tab w:val="right" w:pos="8306"/>
      </w:tabs>
    </w:pPr>
  </w:style>
  <w:style w:type="character" w:customStyle="1" w:styleId="a4">
    <w:name w:val="כותרת עליונה תו"/>
    <w:basedOn w:val="a0"/>
    <w:link w:val="a3"/>
    <w:rsid w:val="006E47E2"/>
    <w:rPr>
      <w:rFonts w:ascii="Times New Roman" w:eastAsia="Times New Roman" w:hAnsi="Times New Roman" w:cs="David"/>
      <w:noProof/>
      <w:sz w:val="24"/>
      <w:szCs w:val="24"/>
    </w:rPr>
  </w:style>
  <w:style w:type="paragraph" w:styleId="a5">
    <w:name w:val="footer"/>
    <w:basedOn w:val="a"/>
    <w:link w:val="a6"/>
    <w:rsid w:val="006E47E2"/>
    <w:pPr>
      <w:tabs>
        <w:tab w:val="center" w:pos="4153"/>
        <w:tab w:val="right" w:pos="8306"/>
      </w:tabs>
    </w:pPr>
  </w:style>
  <w:style w:type="character" w:customStyle="1" w:styleId="a6">
    <w:name w:val="כותרת תחתונה תו"/>
    <w:basedOn w:val="a0"/>
    <w:link w:val="a5"/>
    <w:rsid w:val="006E47E2"/>
    <w:rPr>
      <w:rFonts w:ascii="Times New Roman" w:eastAsia="Times New Roman" w:hAnsi="Times New Roman" w:cs="David"/>
      <w:noProof/>
      <w:sz w:val="24"/>
      <w:szCs w:val="24"/>
    </w:rPr>
  </w:style>
  <w:style w:type="table" w:styleId="a7">
    <w:name w:val="Table Grid"/>
    <w:basedOn w:val="a1"/>
    <w:rsid w:val="006E47E2"/>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6E47E2"/>
  </w:style>
  <w:style w:type="paragraph" w:styleId="a9">
    <w:name w:val="List Paragraph"/>
    <w:basedOn w:val="a"/>
    <w:uiPriority w:val="34"/>
    <w:qFormat/>
    <w:rsid w:val="006E47E2"/>
    <w:pPr>
      <w:spacing w:after="160" w:line="256" w:lineRule="auto"/>
      <w:ind w:left="720"/>
      <w:contextualSpacing/>
    </w:pPr>
    <w:rPr>
      <w:rFonts w:asciiTheme="minorHAnsi" w:eastAsiaTheme="minorHAnsi" w:hAnsiTheme="minorHAnsi" w:cstheme="minorBidi"/>
      <w:noProof w:val="0"/>
      <w:sz w:val="22"/>
      <w:szCs w:val="22"/>
    </w:rPr>
  </w:style>
  <w:style w:type="character" w:styleId="aa">
    <w:name w:val="line number"/>
    <w:basedOn w:val="a0"/>
    <w:uiPriority w:val="99"/>
    <w:semiHidden/>
    <w:unhideWhenUsed/>
    <w:rsid w:val="006E47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1271</Words>
  <Characters>6357</Characters>
  <Application>Microsoft Office Word</Application>
  <DocSecurity>0</DocSecurity>
  <Lines>52</Lines>
  <Paragraphs>15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אטל אזרואל</dc:creator>
  <cp:keywords/>
  <dc:description/>
  <cp:lastModifiedBy>אטל אזרואל</cp:lastModifiedBy>
  <cp:revision>1</cp:revision>
  <dcterms:created xsi:type="dcterms:W3CDTF">2023-08-29T08:46:00Z</dcterms:created>
  <dcterms:modified xsi:type="dcterms:W3CDTF">2023-08-29T08:46:00Z</dcterms:modified>
</cp:coreProperties>
</file>